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bottom w:color="4f81bd" w:space="1" w:sz="8" w:val="single"/>
        </w:pBdr>
        <w:spacing w:after="80" w:before="200" w:line="240" w:lineRule="auto"/>
        <w:jc w:val="center"/>
        <w:rPr>
          <w:rFonts w:ascii="Cambria" w:cs="Cambria" w:eastAsia="Cambria" w:hAnsi="Cambria"/>
          <w:color w:val="00206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</w:rPr>
        <w:drawing>
          <wp:inline distB="0" distT="0" distL="0" distR="0">
            <wp:extent cx="1762125" cy="819150"/>
            <wp:effectExtent b="0" l="0" r="0" t="0"/>
            <wp:docPr descr="AU logo" id="3" name="image1.jpg"/>
            <a:graphic>
              <a:graphicData uri="http://schemas.openxmlformats.org/drawingml/2006/picture">
                <pic:pic>
                  <pic:nvPicPr>
                    <pic:cNvPr descr="AU logo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19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4f81bd" w:space="1" w:sz="8" w:val="single"/>
        </w:pBdr>
        <w:spacing w:after="80" w:before="200" w:line="240" w:lineRule="auto"/>
        <w:jc w:val="center"/>
        <w:rPr>
          <w:rFonts w:ascii="Times New Roman" w:cs="Times New Roman" w:eastAsia="Times New Roman" w:hAnsi="Times New Roman"/>
          <w:b w:val="1"/>
          <w:color w:val="00206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2060"/>
          <w:sz w:val="28"/>
          <w:szCs w:val="28"/>
          <w:rtl w:val="0"/>
        </w:rPr>
        <w:t xml:space="preserve">School of Social Work Field Education </w:t>
      </w:r>
    </w:p>
    <w:p w:rsidR="00000000" w:rsidDel="00000000" w:rsidP="00000000" w:rsidRDefault="00000000" w:rsidRPr="00000000" w14:paraId="00000003">
      <w:pPr>
        <w:pBdr>
          <w:bottom w:color="4f81bd" w:space="1" w:sz="8" w:val="single"/>
        </w:pBdr>
        <w:spacing w:after="80" w:before="200" w:line="240" w:lineRule="auto"/>
        <w:jc w:val="center"/>
        <w:rPr>
          <w:rFonts w:ascii="Times New Roman" w:cs="Times New Roman" w:eastAsia="Times New Roman" w:hAnsi="Times New Roman"/>
          <w:b w:val="1"/>
          <w:color w:val="00206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2060"/>
          <w:sz w:val="28"/>
          <w:szCs w:val="28"/>
          <w:rtl w:val="0"/>
        </w:rPr>
        <w:t xml:space="preserve">PEL School Social Work Remote Learning Examples</w:t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See below for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suggested remote activities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or school social work students, to be completed under supervision of their PEL field instructor.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Field Supervisors are also encouraged to create additional activities that reflect the specific needs of their school and the students they serve.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continue actively communicating regarding individual remote learning plans and expectations regarding successful completion of activities.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4f81bd" w:space="1" w:sz="8" w:val="single"/>
        </w:pBdr>
        <w:spacing w:after="80" w:before="200" w:line="240" w:lineRule="auto"/>
        <w:rPr>
          <w:rFonts w:ascii="Times New Roman" w:cs="Times New Roman" w:eastAsia="Times New Roman" w:hAnsi="Times New Roman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 xml:space="preserve">PEL Remote Activity Options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Complete online Trainings and Webinars specific to school age children. Submit a certification of completion or proof of attendance. Create a handout, highlighting 3-5 takeaways that could be provided to families and teachers.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Develop Social Emotional Lesson Plans for students on your caseload or for students exhibiting a specific disability.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Develop a lesson plan and a list of resources to address reentry for students, families and staff after school resumes from being closed due to COVID-19.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Create a PowerPoint presentation for a professional development to teach staff or enhance their knowledge on a particular topic. Possible topics include (but are not limited to) the following: ACEs, RTI/MTSS, Trauma, Restorative Justice, Mindfulness, PTSD, ADHD, Culture, etc.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Create (or update) a resource guide highlighting community organizations/resources for families in the district.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Research grants to enhance social/emotional learning.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Keep a daily/weekly journal reflecting on your thoughts, and feelings about the effects of COVID-19 on school staff and students. Identify and reflect on strengths and challenges regarding the plan to move K-12 schools to remote learning. 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Strengthen your report writing skills: Social Developmental History, BIP/Functional Behavioral Analysis, IEP Goals, etc.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Create CICO charts and data collection tools.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Research evidence based online programs for teaching students about social/emotional skills, grief/death/dying, divorce, appropriate behavior, etc. Identify price, grade level, topic, and etc.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Create a proposal for a new after or before school program for students in your district. 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Graph data from discipline reports, truancy, behavior charts, and or social work services (i.e., IEP, RTI/MTSS).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ambr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724B2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oWbU+5nThIPoAlOQbj/CObuM+g==">AMUW2mUuzjKDb+SMeYsTX//wRni3Rp44ZQU3KkfG9uWiOROZlgTYQsJ7DTCpBtuZh2MO2FabtePku1z615OdVMXDl/lr+9XTkz3864Tv0TmfqVbv66bep0Q=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2020-03-16T13:58:00Z</dcterms:created>
  <dc:creator>Ariana Carlson</dc:creator>
</cp:coreProperties>
</file>